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bookmarkStart w:id="0" w:name="_GoBack"/>
      <w:bookmarkEnd w:id="0"/>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工业交换机询价文件</w:t>
      </w: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3"/>
        <w:rPr>
          <w:rFonts w:hint="eastAsia"/>
          <w:lang w:val="en-US" w:eastAsia="zh-CN"/>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9"/>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9"/>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法定代表人（签字/盖章）：</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或委托代理人</w:t>
      </w:r>
    </w:p>
    <w:p>
      <w:pPr>
        <w:snapToGrid w:val="0"/>
        <w:spacing w:line="360" w:lineRule="auto"/>
        <w:ind w:left="0" w:leftChars="0" w:firstLine="2940" w:firstLineChars="1050"/>
        <w:jc w:val="righ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2"/>
        <w:rPr>
          <w:rFonts w:hint="eastAsia" w:ascii="仿宋" w:hAnsi="仿宋" w:eastAsia="仿宋" w:cs="仿宋"/>
          <w:sz w:val="28"/>
          <w:szCs w:val="28"/>
        </w:rPr>
      </w:pPr>
    </w:p>
    <w:p>
      <w:pPr>
        <w:pStyle w:val="9"/>
        <w:numPr>
          <w:ilvl w:val="1"/>
          <w:numId w:val="0"/>
        </w:numPr>
        <w:bidi w:val="0"/>
        <w:ind w:left="0" w:leftChars="0" w:firstLine="0" w:firstLineChars="0"/>
        <w:jc w:val="left"/>
        <w:rPr>
          <w:rFonts w:hint="eastAsia"/>
          <w:lang w:val="zh-CN" w:eastAsia="zh-CN"/>
        </w:rPr>
        <w:sectPr>
          <w:pgSz w:w="11906" w:h="16838"/>
          <w:pgMar w:top="1440" w:right="1800" w:bottom="1440" w:left="1800" w:header="851" w:footer="992" w:gutter="0"/>
          <w:cols w:space="425" w:num="1"/>
          <w:docGrid w:type="lines" w:linePitch="312" w:charSpace="0"/>
        </w:sectPr>
      </w:pPr>
    </w:p>
    <w:p>
      <w:pPr>
        <w:pStyle w:val="9"/>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9"/>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9"/>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2"/>
        <w:rPr>
          <w:rFonts w:hint="eastAsia"/>
        </w:rPr>
        <w:sectPr>
          <w:pgSz w:w="11906" w:h="16838"/>
          <w:pgMar w:top="1440" w:right="1800" w:bottom="1440" w:left="1800" w:header="851" w:footer="992" w:gutter="0"/>
          <w:cols w:space="425" w:num="1"/>
          <w:docGrid w:type="lines" w:linePitch="312" w:charSpace="0"/>
        </w:sectPr>
      </w:pPr>
    </w:p>
    <w:p>
      <w:pPr>
        <w:pStyle w:val="9"/>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w:t>
      </w:r>
    </w:p>
    <w:tbl>
      <w:tblPr>
        <w:tblStyle w:val="20"/>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9"/>
        <w:gridCol w:w="2230"/>
        <w:gridCol w:w="4181"/>
        <w:gridCol w:w="442"/>
        <w:gridCol w:w="743"/>
        <w:gridCol w:w="772"/>
        <w:gridCol w:w="1656"/>
        <w:gridCol w:w="1257"/>
        <w:gridCol w:w="1271"/>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10"/>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623"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515"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5414"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4623"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4623"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4623"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4"/>
                <w:szCs w:val="24"/>
                <w:u w:val="single"/>
                <w:lang w:val="en-US" w:eastAsia="zh-CN" w:bidi="ar"/>
              </w:rPr>
              <w:t>HABAccb@163.com</w:t>
            </w: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719"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4623"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5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9"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序号</w:t>
            </w:r>
          </w:p>
        </w:tc>
        <w:tc>
          <w:tcPr>
            <w:tcW w:w="2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项目名称</w:t>
            </w:r>
          </w:p>
        </w:tc>
        <w:tc>
          <w:tcPr>
            <w:tcW w:w="46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技术参数</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单位</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数量</w:t>
            </w:r>
          </w:p>
        </w:tc>
        <w:tc>
          <w:tcPr>
            <w:tcW w:w="16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品牌及型号</w:t>
            </w:r>
          </w:p>
        </w:tc>
        <w:tc>
          <w:tcPr>
            <w:tcW w:w="25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金额（元）</w:t>
            </w:r>
          </w:p>
        </w:tc>
        <w:tc>
          <w:tcPr>
            <w:tcW w:w="123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是否满足参数要求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9"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2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46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单价</w:t>
            </w: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合价</w:t>
            </w:r>
          </w:p>
        </w:tc>
        <w:tc>
          <w:tcPr>
            <w:tcW w:w="123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Style w:val="24"/>
                <w:rFonts w:ascii="宋体" w:hAnsi="宋体" w:eastAsia="宋体" w:cs="宋体"/>
                <w:i w:val="0"/>
                <w:iCs w:val="0"/>
                <w:color w:val="000000"/>
                <w:lang w:val="en-US" w:eastAsia="zh-CN" w:bidi="ar"/>
              </w:rPr>
              <w:t>千兆工业交换机方向汇聚</w:t>
            </w:r>
          </w:p>
        </w:tc>
        <w:tc>
          <w:tcPr>
            <w:tcW w:w="4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default" w:ascii="宋体" w:hAnsi="宋体" w:eastAsia="宋体" w:cs="宋体"/>
                <w:i w:val="0"/>
                <w:iCs w:val="0"/>
                <w:color w:val="000000"/>
                <w:kern w:val="0"/>
                <w:sz w:val="24"/>
                <w:szCs w:val="24"/>
                <w:u w:val="none"/>
                <w:lang w:val="en-US" w:eastAsia="zh-CN" w:bidi="ar"/>
              </w:rPr>
            </w:pPr>
            <w:r>
              <w:rPr>
                <w:rStyle w:val="24"/>
                <w:rFonts w:ascii="宋体" w:hAnsi="宋体" w:eastAsia="宋体" w:cs="宋体"/>
                <w:i w:val="0"/>
                <w:iCs w:val="0"/>
                <w:color w:val="000000"/>
                <w:lang w:val="en-US" w:eastAsia="zh-CN" w:bidi="ar"/>
              </w:rPr>
              <w:t>1）基本性能：交换容量≥128Gbps，转发性能≥14 Mpps，包缓存≥2Mbit；8个千兆电口，10/100/1000 Base-T(X)自适应以太网RJ45接口；2个千兆光口，1000Base-FX,单/多模，SFP接口，光接口支持多模双纤、单模双纤、单模单纤三种光纤传输模式，含传输、汇聚光模块；</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2）IP40防护等级；</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5) 工业级要求：EMC工业四级；具备了耐高/低温、防尘、抗震、抗电磁干扰等性能；</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5) 配置要求：内置双电源；</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6）工作温度：-40℃~+70℃ ；</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7）工作湿度：5-95% (无凝露) ；</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8）散热方式：无风扇自然散热，耐高/低温、防尘特性。</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Style w:val="24"/>
                <w:rFonts w:hint="eastAsia" w:ascii="宋体" w:hAnsi="宋体" w:eastAsia="宋体" w:cs="宋体"/>
                <w:i w:val="0"/>
                <w:iCs w:val="0"/>
                <w:color w:val="000000"/>
                <w:lang w:val="en-US" w:eastAsia="zh-CN" w:bidi="ar"/>
              </w:rPr>
              <w:t>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Style w:val="24"/>
                <w:rFonts w:hint="default" w:ascii="宋体" w:hAnsi="宋体" w:eastAsia="宋体" w:cs="宋体"/>
                <w:i w:val="0"/>
                <w:iCs w:val="0"/>
                <w:color w:val="000000"/>
                <w:lang w:val="en-US" w:eastAsia="zh-CN" w:bidi="ar"/>
              </w:rPr>
              <w:t>57</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艾利万</w:t>
            </w:r>
          </w:p>
          <w:p>
            <w:pPr>
              <w:pStyle w:val="2"/>
              <w:ind w:left="0" w:leftChars="0" w:firstLine="0" w:firstLineChars="0"/>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Aiot3000-2GF8GE-DCW24</w:t>
            </w:r>
          </w:p>
          <w:p>
            <w:pPr>
              <w:pStyle w:val="2"/>
              <w:ind w:left="0" w:leftChars="0" w:firstLine="0" w:firstLineChars="0"/>
              <w:rPr>
                <w:rFonts w:hint="default"/>
                <w:lang w:val="en-US" w:eastAsia="zh-CN"/>
              </w:rPr>
            </w:pPr>
            <w:r>
              <w:rPr>
                <w:rFonts w:hint="eastAsia" w:ascii="宋体" w:hAnsi="宋体" w:cs="宋体"/>
                <w:i w:val="0"/>
                <w:iCs w:val="0"/>
                <w:color w:val="000000"/>
                <w:kern w:val="0"/>
                <w:sz w:val="22"/>
                <w:szCs w:val="22"/>
                <w:u w:val="none"/>
                <w:lang w:val="en-US" w:eastAsia="zh-CN" w:bidi="ar"/>
              </w:rPr>
              <w:t>（含电源、含满配模块）</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Style w:val="24"/>
                <w:rFonts w:ascii="宋体" w:hAnsi="宋体" w:eastAsia="宋体" w:cs="宋体"/>
                <w:i w:val="0"/>
                <w:iCs w:val="0"/>
                <w:color w:val="000000"/>
                <w:lang w:val="en-US" w:eastAsia="zh-CN" w:bidi="ar"/>
              </w:rPr>
              <w:t>千兆工业交换机路口汇聚</w:t>
            </w:r>
          </w:p>
        </w:tc>
        <w:tc>
          <w:tcPr>
            <w:tcW w:w="4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Style w:val="24"/>
                <w:rFonts w:ascii="宋体" w:hAnsi="宋体" w:eastAsia="宋体" w:cs="宋体"/>
                <w:i w:val="0"/>
                <w:iCs w:val="0"/>
                <w:color w:val="000000"/>
                <w:lang w:val="en-US" w:eastAsia="zh-CN" w:bidi="ar"/>
              </w:rPr>
              <w:t>1）基本性能：交换容量≥128Gbps，转发性能≥14 Mpps，包缓存≥2Mbit；8个千兆光口，1000Base-FX,单/多模，SFP接口；8个千兆电口，10/100/1000 Base-T(X)自适应以太网RJ45接口；光接口支持多模双纤、单模双纤、单模单纤三种光纤传输模式，含传输、汇聚光模块；</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2）工作温度：–40℃~+70℃；工作湿度：5-95% (无凝露) ；防护等级：IP40；</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3）散热方式：无风扇自然散热，耐高/低温、防尘特性；</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4）工业级要求：EMC工业四级；具备了耐高/低温、防尘、抗震、抗电磁干扰等性能；</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5)服务质量：提供QoS功能，实现基于业务种类区分服务模式、进行优先级映射、流量监管 (CAR)、流量整形，拥塞避免、拥塞管理；</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6）管理维护：命令行配置、Web网管、SNMP(v1/v2c/v3)；</w:t>
            </w:r>
            <w:r>
              <w:rPr>
                <w:rStyle w:val="24"/>
                <w:rFonts w:ascii="宋体" w:hAnsi="宋体" w:eastAsia="宋体" w:cs="宋体"/>
                <w:i w:val="0"/>
                <w:iCs w:val="0"/>
                <w:color w:val="000000"/>
                <w:lang w:val="en-US" w:eastAsia="zh-CN" w:bidi="ar"/>
              </w:rPr>
              <w:br w:type="textWrapping"/>
            </w:r>
            <w:r>
              <w:rPr>
                <w:rStyle w:val="24"/>
                <w:rFonts w:ascii="宋体" w:hAnsi="宋体" w:eastAsia="宋体" w:cs="宋体"/>
                <w:i w:val="0"/>
                <w:iCs w:val="0"/>
                <w:color w:val="000000"/>
                <w:lang w:val="en-US" w:eastAsia="zh-CN" w:bidi="ar"/>
              </w:rPr>
              <w:t>7）配置要求：内置双电源。</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Style w:val="24"/>
                <w:rFonts w:hint="eastAsia" w:ascii="宋体" w:hAnsi="宋体" w:eastAsia="宋体" w:cs="宋体"/>
                <w:i w:val="0"/>
                <w:iCs w:val="0"/>
                <w:color w:val="000000"/>
                <w:lang w:val="en-US" w:eastAsia="zh-CN" w:bidi="ar"/>
              </w:rPr>
              <w:t>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Style w:val="24"/>
                <w:rFonts w:hint="default" w:ascii="宋体" w:hAnsi="宋体" w:eastAsia="宋体" w:cs="宋体"/>
                <w:i w:val="0"/>
                <w:iCs w:val="0"/>
                <w:color w:val="000000"/>
                <w:lang w:val="en-US" w:eastAsia="zh-CN" w:bidi="ar"/>
              </w:rPr>
              <w:t>16</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艾利万</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Aiot3000-8GF8GE-DCW24</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kern w:val="0"/>
                <w:sz w:val="22"/>
                <w:szCs w:val="22"/>
                <w:u w:val="none"/>
                <w:lang w:val="en-US" w:eastAsia="zh-CN" w:bidi="ar"/>
              </w:rPr>
              <w:t>（含电源、含满配模块）</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1" w:hRule="atLeast"/>
        </w:trPr>
        <w:tc>
          <w:tcPr>
            <w:tcW w:w="489"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w:t>
            </w:r>
            <w:r>
              <w:rPr>
                <w:rFonts w:hint="eastAsia" w:ascii="宋体" w:hAnsi="宋体" w:cs="宋体"/>
                <w:i w:val="0"/>
                <w:iCs w:val="0"/>
                <w:color w:val="000000"/>
                <w:kern w:val="0"/>
                <w:sz w:val="24"/>
                <w:szCs w:val="24"/>
                <w:u w:val="none"/>
                <w:lang w:val="en-US" w:eastAsia="zh-CN" w:bidi="ar"/>
              </w:rPr>
              <w:t>元</w:t>
            </w:r>
          </w:p>
        </w:tc>
        <w:tc>
          <w:tcPr>
            <w:tcW w:w="16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23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10"/>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highlight w:val="none"/>
                <w:u w:val="none"/>
                <w:lang w:val="en-US" w:eastAsia="zh-CN" w:bidi="ar"/>
              </w:rPr>
              <w:t>注：</w:t>
            </w:r>
            <w:r>
              <w:rPr>
                <w:rFonts w:hint="eastAsia" w:ascii="黑体" w:hAnsi="宋体" w:eastAsia="黑体" w:cs="黑体"/>
                <w:i w:val="0"/>
                <w:iCs w:val="0"/>
                <w:color w:val="FF0000"/>
                <w:kern w:val="0"/>
                <w:sz w:val="24"/>
                <w:szCs w:val="24"/>
                <w:u w:val="none"/>
                <w:lang w:val="en-US" w:eastAsia="zh-CN" w:bidi="ar"/>
              </w:rPr>
              <w:t>以上报价含可抵扣的增值税专用发票、运费以及相关服务费用。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lang w:eastAsia="zh-CN"/>
              </w:rPr>
              <w:t>五年</w:t>
            </w: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1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FF0000"/>
                <w:sz w:val="24"/>
                <w:szCs w:val="24"/>
                <w:u w:val="none"/>
              </w:rPr>
            </w:pP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54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rPr>
              <w:t>合同签订后个7日内支付</w:t>
            </w:r>
            <w:r>
              <w:rPr>
                <w:rFonts w:hint="eastAsia" w:ascii="黑体" w:hAnsi="宋体" w:eastAsia="黑体" w:cs="黑体"/>
                <w:i w:val="0"/>
                <w:iCs w:val="0"/>
                <w:color w:val="FF0000"/>
                <w:sz w:val="24"/>
                <w:szCs w:val="24"/>
                <w:u w:val="none"/>
                <w:lang w:val="en-US" w:eastAsia="zh-CN"/>
              </w:rPr>
              <w:t>3</w:t>
            </w:r>
            <w:r>
              <w:rPr>
                <w:rFonts w:hint="eastAsia" w:ascii="黑体" w:hAnsi="宋体" w:eastAsia="黑体" w:cs="黑体"/>
                <w:i w:val="0"/>
                <w:iCs w:val="0"/>
                <w:color w:val="FF0000"/>
                <w:sz w:val="24"/>
                <w:szCs w:val="24"/>
                <w:u w:val="none"/>
              </w:rPr>
              <w:t>0%预付款，货到验收合格后3个月内付清其余的货款。</w:t>
            </w:r>
          </w:p>
        </w:tc>
      </w:tr>
    </w:tbl>
    <w:p>
      <w:pPr>
        <w:pStyle w:val="4"/>
        <w:rPr>
          <w:rFonts w:hint="eastAsia"/>
        </w:rPr>
        <w:sectPr>
          <w:pgSz w:w="16838" w:h="11906" w:orient="landscape"/>
          <w:pgMar w:top="1800" w:right="1440" w:bottom="1800" w:left="1440" w:header="851" w:footer="992" w:gutter="0"/>
          <w:cols w:space="425" w:num="1"/>
          <w:docGrid w:type="lines" w:linePitch="312" w:charSpace="0"/>
        </w:sectPr>
      </w:pPr>
    </w:p>
    <w:p>
      <w:pPr>
        <w:pStyle w:val="6"/>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0"/>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1、合同签订后个7个自然日内，甲方向乙方支付30%的货款作为预付款。乙方收到预付款后安排备货、发货，货到验收合格后3个月内付清其余70%的货款。</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9"/>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9"/>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6"/>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9"/>
      <w:isLgl/>
      <w:lvlText w:val="%1.%2."/>
      <w:lvlJc w:val="left"/>
      <w:pPr>
        <w:ind w:left="567" w:hanging="567"/>
      </w:pPr>
      <w:rPr>
        <w:rFonts w:hint="eastAsia" w:ascii="宋体" w:hAnsi="宋体" w:eastAsia="宋体" w:cs="宋体"/>
      </w:rPr>
    </w:lvl>
    <w:lvl w:ilvl="2" w:tentative="0">
      <w:start w:val="1"/>
      <w:numFmt w:val="decimal"/>
      <w:pStyle w:val="10"/>
      <w:isLgl/>
      <w:lvlText w:val="%1.%2.%3."/>
      <w:lvlJc w:val="left"/>
      <w:pPr>
        <w:ind w:left="709" w:hanging="709"/>
      </w:pPr>
      <w:rPr>
        <w:rFonts w:hint="eastAsia" w:ascii="宋体" w:hAnsi="宋体" w:eastAsia="宋体" w:cs="宋体"/>
      </w:rPr>
    </w:lvl>
    <w:lvl w:ilvl="3" w:tentative="0">
      <w:start w:val="1"/>
      <w:numFmt w:val="decimal"/>
      <w:pStyle w:val="11"/>
      <w:isLgl/>
      <w:lvlText w:val="%1.%2.%3.%4."/>
      <w:lvlJc w:val="left"/>
      <w:pPr>
        <w:ind w:left="850" w:hanging="850"/>
      </w:pPr>
      <w:rPr>
        <w:rFonts w:hint="eastAsia" w:ascii="宋体" w:hAnsi="宋体" w:eastAsia="宋体" w:cs="宋体"/>
      </w:rPr>
    </w:lvl>
    <w:lvl w:ilvl="4" w:tentative="0">
      <w:start w:val="1"/>
      <w:numFmt w:val="decimal"/>
      <w:pStyle w:val="12"/>
      <w:isLgl/>
      <w:lvlText w:val="%1.%2.%3.%4.%5."/>
      <w:lvlJc w:val="left"/>
      <w:pPr>
        <w:ind w:left="991" w:hanging="991"/>
      </w:pPr>
      <w:rPr>
        <w:rFonts w:hint="eastAsia" w:ascii="宋体" w:hAnsi="宋体" w:eastAsia="宋体" w:cs="宋体"/>
      </w:rPr>
    </w:lvl>
    <w:lvl w:ilvl="5" w:tentative="0">
      <w:start w:val="1"/>
      <w:numFmt w:val="decimal"/>
      <w:pStyle w:val="13"/>
      <w:isLgl/>
      <w:lvlText w:val="%1.%2.%3.%4.%5.%6."/>
      <w:lvlJc w:val="left"/>
      <w:pPr>
        <w:ind w:left="1134" w:hanging="1134"/>
      </w:pPr>
      <w:rPr>
        <w:rFonts w:hint="eastAsia" w:ascii="宋体" w:hAnsi="宋体" w:eastAsia="宋体" w:cs="宋体"/>
      </w:rPr>
    </w:lvl>
    <w:lvl w:ilvl="6" w:tentative="0">
      <w:start w:val="1"/>
      <w:numFmt w:val="decimal"/>
      <w:pStyle w:val="14"/>
      <w:isLgl/>
      <w:lvlText w:val="%1.%2.%3.%4.%5.%6.%7."/>
      <w:lvlJc w:val="left"/>
      <w:pPr>
        <w:ind w:left="1275" w:hanging="1275"/>
      </w:pPr>
      <w:rPr>
        <w:rFonts w:hint="eastAsia" w:ascii="宋体" w:hAnsi="宋体" w:eastAsia="宋体" w:cs="宋体"/>
      </w:rPr>
    </w:lvl>
    <w:lvl w:ilvl="7" w:tentative="0">
      <w:start w:val="1"/>
      <w:numFmt w:val="decimal"/>
      <w:pStyle w:val="15"/>
      <w:isLgl/>
      <w:lvlText w:val="%1.%2.%3.%4.%5.%6.%7.%8."/>
      <w:lvlJc w:val="left"/>
      <w:pPr>
        <w:ind w:left="1418" w:hanging="1418"/>
      </w:pPr>
      <w:rPr>
        <w:rFonts w:hint="eastAsia" w:ascii="宋体" w:hAnsi="宋体" w:eastAsia="宋体" w:cs="宋体"/>
      </w:rPr>
    </w:lvl>
    <w:lvl w:ilvl="8" w:tentative="0">
      <w:start w:val="1"/>
      <w:numFmt w:val="decimal"/>
      <w:pStyle w:val="16"/>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TYyNjg3YmZhODEyMzFkMjcxZGE4YWEyZDQ2MTgifQ=="/>
  </w:docVars>
  <w:rsids>
    <w:rsidRoot w:val="1F741D8C"/>
    <w:rsid w:val="00F471B2"/>
    <w:rsid w:val="02BD280C"/>
    <w:rsid w:val="06E65ABA"/>
    <w:rsid w:val="082F30B8"/>
    <w:rsid w:val="0BC2638F"/>
    <w:rsid w:val="0BDC6B78"/>
    <w:rsid w:val="0D78696A"/>
    <w:rsid w:val="0DBF30C4"/>
    <w:rsid w:val="0E697D1E"/>
    <w:rsid w:val="100159F1"/>
    <w:rsid w:val="104E486C"/>
    <w:rsid w:val="138B678C"/>
    <w:rsid w:val="15B405D8"/>
    <w:rsid w:val="193251CA"/>
    <w:rsid w:val="1B811C42"/>
    <w:rsid w:val="1F741D8C"/>
    <w:rsid w:val="1FC0011B"/>
    <w:rsid w:val="25DE44B5"/>
    <w:rsid w:val="264801BD"/>
    <w:rsid w:val="2B9E5DD1"/>
    <w:rsid w:val="2E1B2848"/>
    <w:rsid w:val="2EE60C25"/>
    <w:rsid w:val="300D6BCC"/>
    <w:rsid w:val="38945D44"/>
    <w:rsid w:val="39297DD7"/>
    <w:rsid w:val="39963E4D"/>
    <w:rsid w:val="46AE2EAA"/>
    <w:rsid w:val="48832749"/>
    <w:rsid w:val="4A0E06F8"/>
    <w:rsid w:val="4BB038DA"/>
    <w:rsid w:val="50417986"/>
    <w:rsid w:val="57A86680"/>
    <w:rsid w:val="57DB3B40"/>
    <w:rsid w:val="59BE6F5A"/>
    <w:rsid w:val="5BBF6D32"/>
    <w:rsid w:val="5CA61E20"/>
    <w:rsid w:val="614F4B26"/>
    <w:rsid w:val="61852A60"/>
    <w:rsid w:val="64A92B09"/>
    <w:rsid w:val="658B2972"/>
    <w:rsid w:val="69FD1FFD"/>
    <w:rsid w:val="6BB31049"/>
    <w:rsid w:val="6CF430F2"/>
    <w:rsid w:val="6F575DD1"/>
    <w:rsid w:val="70155795"/>
    <w:rsid w:val="71E07B02"/>
    <w:rsid w:val="772E1F12"/>
    <w:rsid w:val="79DA1D09"/>
    <w:rsid w:val="7A182199"/>
    <w:rsid w:val="7E373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6">
    <w:name w:val="heading 1"/>
    <w:basedOn w:val="7"/>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9">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10">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11">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12">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3">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4">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5">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6">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1">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99"/>
    <w:pPr>
      <w:spacing w:after="120"/>
    </w:pPr>
    <w:rPr>
      <w:sz w:val="28"/>
    </w:rPr>
  </w:style>
  <w:style w:type="paragraph" w:styleId="3">
    <w:name w:val="Body Text First Indent"/>
    <w:basedOn w:val="1"/>
    <w:next w:val="4"/>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4">
    <w:name w:val="Body Text First Indent 2"/>
    <w:basedOn w:val="5"/>
    <w:next w:val="1"/>
    <w:autoRedefine/>
    <w:qFormat/>
    <w:uiPriority w:val="99"/>
  </w:style>
  <w:style w:type="paragraph" w:styleId="5">
    <w:name w:val="Body Text Indent"/>
    <w:basedOn w:val="1"/>
    <w:autoRedefine/>
    <w:qFormat/>
    <w:uiPriority w:val="99"/>
    <w:pPr>
      <w:spacing w:after="120"/>
      <w:ind w:left="420" w:leftChars="200"/>
    </w:pPr>
  </w:style>
  <w:style w:type="paragraph" w:styleId="7">
    <w:name w:val="Title"/>
    <w:basedOn w:val="8"/>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toc 2"/>
    <w:basedOn w:val="1"/>
    <w:next w:val="1"/>
    <w:autoRedefine/>
    <w:qFormat/>
    <w:uiPriority w:val="1"/>
    <w:pPr>
      <w:ind w:left="596"/>
    </w:pPr>
    <w:rPr>
      <w:rFonts w:ascii="宋体" w:hAnsi="宋体" w:eastAsia="宋体"/>
      <w:sz w:val="24"/>
      <w:szCs w:val="24"/>
    </w:rPr>
  </w:style>
  <w:style w:type="paragraph" w:styleId="17">
    <w:name w:val="toa heading"/>
    <w:basedOn w:val="1"/>
    <w:next w:val="1"/>
    <w:autoRedefine/>
    <w:qFormat/>
    <w:uiPriority w:val="0"/>
    <w:pPr>
      <w:spacing w:before="120"/>
    </w:pPr>
    <w:rPr>
      <w:rFonts w:ascii="Arial" w:hAnsi="Arial"/>
      <w:sz w:val="24"/>
    </w:rPr>
  </w:style>
  <w:style w:type="paragraph" w:styleId="18">
    <w:name w:val="Plain Text"/>
    <w:basedOn w:val="1"/>
    <w:autoRedefine/>
    <w:unhideWhenUsed/>
    <w:qFormat/>
    <w:uiPriority w:val="0"/>
    <w:rPr>
      <w:rFonts w:ascii="宋体" w:hAnsi="Courier New"/>
      <w:szCs w:val="20"/>
    </w:rPr>
  </w:style>
  <w:style w:type="paragraph" w:styleId="19">
    <w:name w:val="Normal (Web)"/>
    <w:basedOn w:val="1"/>
    <w:autoRedefine/>
    <w:qFormat/>
    <w:uiPriority w:val="0"/>
    <w:rPr>
      <w:sz w:val="24"/>
    </w:rPr>
  </w:style>
  <w:style w:type="character" w:styleId="22">
    <w:name w:val="Hyperlink"/>
    <w:basedOn w:val="21"/>
    <w:autoRedefine/>
    <w:qFormat/>
    <w:uiPriority w:val="0"/>
    <w:rPr>
      <w:color w:val="0000FF"/>
      <w:u w:val="single"/>
    </w:rPr>
  </w:style>
  <w:style w:type="paragraph" w:customStyle="1" w:styleId="23">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4">
    <w:name w:val="font11"/>
    <w:basedOn w:val="21"/>
    <w:autoRedefine/>
    <w:qFormat/>
    <w:uiPriority w:val="0"/>
    <w:rPr>
      <w:rFonts w:hint="eastAsia" w:ascii="宋体" w:hAnsi="宋体" w:eastAsia="宋体" w:cs="宋体"/>
      <w:color w:val="000000"/>
      <w:sz w:val="21"/>
      <w:szCs w:val="21"/>
      <w:u w:val="none"/>
    </w:rPr>
  </w:style>
  <w:style w:type="character" w:customStyle="1" w:styleId="25">
    <w:name w:val="font21"/>
    <w:basedOn w:val="21"/>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乙木绘本</cp:lastModifiedBy>
  <cp:lastPrinted>2023-11-07T01:59:00Z</cp:lastPrinted>
  <dcterms:modified xsi:type="dcterms:W3CDTF">2024-02-18T07:35:21Z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494344CEEAF8476485B68B674086A3E0_13</vt:lpwstr>
  </property>
</Properties>
</file>